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2E2D">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14:paraId="0FE7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E17B787">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5E23524">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3715EEB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5DED9D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D3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05369E9">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14:paraId="4CFFADD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w:t>
            </w:r>
            <w:bookmarkStart w:id="0" w:name="_GoBack"/>
            <w:bookmarkEnd w:id="0"/>
            <w:r>
              <w:rPr>
                <w:rFonts w:hint="eastAsia" w:ascii="仿宋_GB2312" w:hAnsi="仿宋_GB2312" w:eastAsia="仿宋_GB2312" w:cs="仿宋_GB2312"/>
                <w:color w:val="auto"/>
                <w:kern w:val="2"/>
                <w:sz w:val="24"/>
                <w:szCs w:val="24"/>
                <w:highlight w:val="none"/>
                <w:lang w:val="en-US" w:eastAsia="zh-CN" w:bidi="ar-SA"/>
              </w:rPr>
              <w:t>材料</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1C0CB5B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7570397E">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67569DF6">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22294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1C8099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bottom w:val="single" w:color="auto" w:sz="4" w:space="0"/>
              <w:right w:val="single" w:color="auto" w:sz="4" w:space="0"/>
            </w:tcBorders>
            <w:noWrap w:val="0"/>
            <w:vAlign w:val="center"/>
          </w:tcPr>
          <w:p w14:paraId="18F8B903">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0C601C58">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CFB6C31">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218F58BA">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3628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shd w:val="clear" w:color="auto" w:fill="auto"/>
            <w:noWrap w:val="0"/>
            <w:vAlign w:val="center"/>
          </w:tcPr>
          <w:p w14:paraId="2DD1884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restart"/>
            <w:tcBorders>
              <w:top w:val="single" w:color="auto" w:sz="4" w:space="0"/>
              <w:left w:val="single" w:color="auto" w:sz="4" w:space="0"/>
              <w:right w:val="single" w:color="auto" w:sz="4" w:space="0"/>
            </w:tcBorders>
            <w:noWrap w:val="0"/>
            <w:vAlign w:val="center"/>
          </w:tcPr>
          <w:p w14:paraId="114775B3">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880" w:type="dxa"/>
            <w:vMerge w:val="restart"/>
            <w:tcBorders>
              <w:top w:val="single" w:color="auto" w:sz="4" w:space="0"/>
              <w:left w:val="single" w:color="auto" w:sz="4" w:space="0"/>
              <w:right w:val="single" w:color="auto" w:sz="4" w:space="0"/>
            </w:tcBorders>
            <w:noWrap w:val="0"/>
            <w:vAlign w:val="center"/>
          </w:tcPr>
          <w:p w14:paraId="7D50CBC9">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1100" w:type="dxa"/>
            <w:tcBorders>
              <w:top w:val="single" w:color="auto" w:sz="4" w:space="0"/>
              <w:left w:val="single" w:color="auto" w:sz="4" w:space="0"/>
              <w:right w:val="single" w:color="auto" w:sz="4" w:space="0"/>
            </w:tcBorders>
            <w:noWrap w:val="0"/>
            <w:vAlign w:val="center"/>
          </w:tcPr>
          <w:p w14:paraId="54255F1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14:paraId="57A15DDA">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14:paraId="48EDFD0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25C3A2B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69E2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shd w:val="clear" w:color="auto" w:fill="auto"/>
            <w:noWrap w:val="0"/>
            <w:vAlign w:val="center"/>
          </w:tcPr>
          <w:p w14:paraId="516B8EF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right w:val="single" w:color="auto" w:sz="4" w:space="0"/>
            </w:tcBorders>
            <w:noWrap w:val="0"/>
            <w:vAlign w:val="center"/>
          </w:tcPr>
          <w:p w14:paraId="036AE431">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276AB6D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14:paraId="422ACCB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14:paraId="0B83CF0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14:paraId="294114D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355F647">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4AAE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shd w:val="clear" w:color="auto" w:fill="auto"/>
            <w:noWrap w:val="0"/>
            <w:vAlign w:val="center"/>
          </w:tcPr>
          <w:p w14:paraId="07D2FBA2">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continue"/>
            <w:tcBorders>
              <w:left w:val="single" w:color="auto" w:sz="4" w:space="0"/>
              <w:right w:val="single" w:color="auto" w:sz="4" w:space="0"/>
            </w:tcBorders>
            <w:noWrap w:val="0"/>
            <w:vAlign w:val="center"/>
          </w:tcPr>
          <w:p w14:paraId="4D6FEC0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76E09FFE">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14:paraId="4EE08F8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14:paraId="65E32783">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14:paraId="26FA745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76394926">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64038D8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通过系统上传主要知识产权活动在本省行政区域的情况说明电子版；线下提交原件</w:t>
            </w:r>
          </w:p>
        </w:tc>
      </w:tr>
      <w:tr w14:paraId="786F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0F91D8">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14:paraId="0A205FD2">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37679F6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0FD42AEB">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1BCFF969">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6AF1255">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14:paraId="3E04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A6043">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14:paraId="36276295">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14:paraId="0F6A80F6">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14:paraId="3DEFB426">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4F901C4B">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2EA63360">
            <w:pPr>
              <w:keepNext w:val="0"/>
              <w:keepLines w:val="0"/>
              <w:suppressLineNumbers w:val="0"/>
              <w:shd w:val="clear"/>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2ED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25CE9DF">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bottom w:val="single" w:color="auto" w:sz="4" w:space="0"/>
              <w:right w:val="single" w:color="auto" w:sz="4" w:space="0"/>
            </w:tcBorders>
            <w:noWrap w:val="0"/>
            <w:vAlign w:val="center"/>
          </w:tcPr>
          <w:p w14:paraId="44F1049D">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14:paraId="2E2CD52C">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6FE24774">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B4A3656">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14:paraId="036DBD5D">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br w:type="page"/>
      </w:r>
    </w:p>
    <w:p w14:paraId="2F178023">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被推荐者自我评价表</w:t>
      </w:r>
    </w:p>
    <w:tbl>
      <w:tblPr>
        <w:tblStyle w:val="8"/>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272"/>
        <w:gridCol w:w="1971"/>
        <w:gridCol w:w="1200"/>
        <w:gridCol w:w="5427"/>
        <w:gridCol w:w="1488"/>
        <w:gridCol w:w="2122"/>
      </w:tblGrid>
      <w:tr w14:paraId="01D00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260" w:type="dxa"/>
            <w:vAlign w:val="center"/>
          </w:tcPr>
          <w:p w14:paraId="3B3FC0C4">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一级指标</w:t>
            </w:r>
          </w:p>
        </w:tc>
        <w:tc>
          <w:tcPr>
            <w:tcW w:w="1272" w:type="dxa"/>
            <w:vAlign w:val="center"/>
          </w:tcPr>
          <w:p w14:paraId="66E56CB3">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二级指标</w:t>
            </w:r>
          </w:p>
        </w:tc>
        <w:tc>
          <w:tcPr>
            <w:tcW w:w="1971" w:type="dxa"/>
            <w:noWrap/>
            <w:vAlign w:val="center"/>
          </w:tcPr>
          <w:p w14:paraId="52588BD8">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三级指标</w:t>
            </w:r>
          </w:p>
        </w:tc>
        <w:tc>
          <w:tcPr>
            <w:tcW w:w="1200" w:type="dxa"/>
            <w:noWrap/>
            <w:vAlign w:val="center"/>
          </w:tcPr>
          <w:p w14:paraId="77A4186A">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分值</w:t>
            </w:r>
          </w:p>
        </w:tc>
        <w:tc>
          <w:tcPr>
            <w:tcW w:w="5427" w:type="dxa"/>
            <w:vAlign w:val="center"/>
          </w:tcPr>
          <w:p w14:paraId="57955676">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lang w:eastAsia="zh-CN"/>
              </w:rPr>
              <w:t>评价内容</w:t>
            </w:r>
          </w:p>
        </w:tc>
        <w:tc>
          <w:tcPr>
            <w:tcW w:w="1488" w:type="dxa"/>
            <w:vAlign w:val="center"/>
          </w:tcPr>
          <w:p w14:paraId="4776A450">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p>
        </w:tc>
        <w:tc>
          <w:tcPr>
            <w:tcW w:w="2122" w:type="dxa"/>
            <w:vAlign w:val="center"/>
          </w:tcPr>
          <w:p w14:paraId="2A19AF78">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highlight w:val="yellow"/>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单位盖章或由被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14:paraId="654F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260" w:type="dxa"/>
            <w:vMerge w:val="restart"/>
            <w:vAlign w:val="center"/>
          </w:tcPr>
          <w:p w14:paraId="15C2DC2B">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行业</w:t>
            </w:r>
          </w:p>
          <w:p w14:paraId="1C109DCE">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竞争力</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（15分）</w:t>
            </w:r>
          </w:p>
        </w:tc>
        <w:tc>
          <w:tcPr>
            <w:tcW w:w="1272" w:type="dxa"/>
            <w:vMerge w:val="restart"/>
            <w:vAlign w:val="center"/>
          </w:tcPr>
          <w:p w14:paraId="7B99D61C">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经济效</w:t>
            </w:r>
          </w:p>
          <w:p w14:paraId="6D85A33D">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益及市</w:t>
            </w:r>
          </w:p>
          <w:p w14:paraId="52183EB7">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场份额</w:t>
            </w:r>
          </w:p>
          <w:p w14:paraId="07B975E9">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（6分）</w:t>
            </w:r>
          </w:p>
        </w:tc>
        <w:tc>
          <w:tcPr>
            <w:tcW w:w="1971" w:type="dxa"/>
            <w:noWrap/>
            <w:vAlign w:val="center"/>
          </w:tcPr>
          <w:p w14:paraId="137079C2">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商业秘密产品或服务行业排名</w:t>
            </w:r>
          </w:p>
        </w:tc>
        <w:tc>
          <w:tcPr>
            <w:tcW w:w="1200" w:type="dxa"/>
            <w:noWrap/>
            <w:vAlign w:val="center"/>
          </w:tcPr>
          <w:p w14:paraId="5645FE9E">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14:paraId="437FAC1A">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过去三年核心商业秘密所指产品或服务在行业内排名情况位居行业排名前三的，得3分</w:t>
            </w:r>
          </w:p>
          <w:p w14:paraId="7058395A">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过去三年核心商业秘密所指产品或服务在行业内排名情况位居行业排名前十的，得2分</w:t>
            </w:r>
          </w:p>
          <w:p w14:paraId="695AD99B">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过去三年核心商业秘密所指产品或服务在行业内排名情况位居行业排名前五十的，得0-1分</w:t>
            </w:r>
          </w:p>
        </w:tc>
        <w:tc>
          <w:tcPr>
            <w:tcW w:w="1488" w:type="dxa"/>
            <w:vAlign w:val="center"/>
          </w:tcPr>
          <w:p w14:paraId="4B05AE3F">
            <w:pPr>
              <w:keepNext w:val="0"/>
              <w:keepLines w:val="0"/>
              <w:widowControl/>
              <w:suppressLineNumbers w:val="0"/>
              <w:jc w:val="left"/>
              <w:textAlignment w:val="center"/>
              <w:rPr>
                <w:rFonts w:hint="default" w:ascii="Times New Roman" w:hAnsi="Times New Roman" w:eastAsia="仿宋_GB2312" w:cs="Times New Roman"/>
                <w:b w:val="0"/>
                <w:bCs w:val="0"/>
                <w:i w:val="0"/>
                <w:iCs w:val="0"/>
                <w:color w:val="C00000"/>
                <w:kern w:val="2"/>
                <w:sz w:val="24"/>
                <w:szCs w:val="24"/>
                <w:u w:val="none"/>
                <w:lang w:val="en-US" w:eastAsia="zh-CN" w:bidi="ar-SA"/>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2122" w:type="dxa"/>
            <w:vAlign w:val="center"/>
          </w:tcPr>
          <w:p w14:paraId="0406B15C">
            <w:pPr>
              <w:rPr>
                <w:rFonts w:hint="default" w:ascii="Times New Roman" w:hAnsi="Times New Roman" w:eastAsia="仿宋_GB2312" w:cs="Times New Roman"/>
                <w:b w:val="0"/>
                <w:bCs w:val="0"/>
                <w:i w:val="0"/>
                <w:iCs w:val="0"/>
                <w:color w:val="C00000"/>
                <w:kern w:val="2"/>
                <w:sz w:val="24"/>
                <w:szCs w:val="24"/>
                <w:highlight w:val="yellow"/>
                <w:u w:val="none"/>
                <w:lang w:val="en-US" w:eastAsia="zh-CN" w:bidi="ar-SA"/>
              </w:rPr>
            </w:pPr>
            <w:r>
              <w:rPr>
                <w:rFonts w:hint="default" w:ascii="Times New Roman" w:hAnsi="Times New Roman" w:eastAsia="仿宋_GB2312" w:cs="Times New Roman"/>
                <w:color w:val="C00000"/>
                <w:kern w:val="0"/>
                <w:sz w:val="24"/>
                <w:szCs w:val="24"/>
                <w:lang w:eastAsia="zh-CN"/>
              </w:rPr>
              <w:t>提供官方认可的行业统计数据。</w:t>
            </w:r>
          </w:p>
        </w:tc>
      </w:tr>
      <w:tr w14:paraId="1492B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260" w:type="dxa"/>
            <w:vMerge w:val="continue"/>
            <w:vAlign w:val="center"/>
          </w:tcPr>
          <w:p w14:paraId="763469DF">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13A72693">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5A26B390">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商业秘密产品或服务销售情况</w:t>
            </w:r>
          </w:p>
        </w:tc>
        <w:tc>
          <w:tcPr>
            <w:tcW w:w="1200" w:type="dxa"/>
            <w:noWrap/>
            <w:vAlign w:val="center"/>
          </w:tcPr>
          <w:p w14:paraId="52900748">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14:paraId="6C2E4C77">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主体过去三年产品或服务销售收入增长显著的，得3分</w:t>
            </w:r>
          </w:p>
          <w:p w14:paraId="1457A2BF">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主体过去三年产品或服务销售收入增长较高的，得2分</w:t>
            </w:r>
          </w:p>
          <w:p w14:paraId="540062D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sz w:val="24"/>
                <w:szCs w:val="24"/>
              </w:rPr>
              <w:t>主体过去三年产品或服务销售收入增长不明显的，得0-1分</w:t>
            </w:r>
          </w:p>
        </w:tc>
        <w:tc>
          <w:tcPr>
            <w:tcW w:w="1488" w:type="dxa"/>
            <w:vAlign w:val="center"/>
          </w:tcPr>
          <w:p w14:paraId="5761203F">
            <w:pPr>
              <w:widowControl/>
              <w:jc w:val="left"/>
              <w:textAlignment w:val="center"/>
              <w:rPr>
                <w:rFonts w:hint="default" w:ascii="Times New Roman" w:hAnsi="Times New Roman" w:eastAsia="仿宋_GB2312" w:cs="Times New Roman"/>
                <w:color w:val="C00000"/>
                <w:sz w:val="24"/>
                <w:szCs w:val="24"/>
              </w:rPr>
            </w:pPr>
          </w:p>
        </w:tc>
        <w:tc>
          <w:tcPr>
            <w:tcW w:w="2122" w:type="dxa"/>
            <w:vAlign w:val="center"/>
          </w:tcPr>
          <w:p w14:paraId="6EAA76EC">
            <w:pPr>
              <w:widowControl/>
              <w:jc w:val="left"/>
              <w:textAlignment w:val="center"/>
              <w:rPr>
                <w:rFonts w:hint="default" w:ascii="Times New Roman" w:hAnsi="Times New Roman" w:eastAsia="仿宋_GB2312" w:cs="Times New Roman"/>
                <w:color w:val="C00000"/>
                <w:sz w:val="24"/>
                <w:szCs w:val="24"/>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）；提供三年销售数据财务报表复印件并盖章</w:t>
            </w:r>
          </w:p>
        </w:tc>
      </w:tr>
      <w:tr w14:paraId="48904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60" w:type="dxa"/>
            <w:vMerge w:val="continue"/>
            <w:vAlign w:val="center"/>
          </w:tcPr>
          <w:p w14:paraId="059371EB">
            <w:pPr>
              <w:widowControl/>
              <w:jc w:val="center"/>
              <w:textAlignment w:val="center"/>
              <w:rPr>
                <w:rFonts w:hint="default" w:ascii="Times New Roman" w:hAnsi="Times New Roman" w:eastAsia="仿宋_GB2312" w:cs="Times New Roman"/>
                <w:color w:val="auto"/>
                <w:sz w:val="24"/>
                <w:szCs w:val="24"/>
              </w:rPr>
            </w:pPr>
          </w:p>
        </w:tc>
        <w:tc>
          <w:tcPr>
            <w:tcW w:w="1272" w:type="dxa"/>
            <w:vMerge w:val="restart"/>
            <w:vAlign w:val="center"/>
          </w:tcPr>
          <w:p w14:paraId="6CC7C811">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行业</w:t>
            </w:r>
          </w:p>
          <w:p w14:paraId="5A2C3963">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影响力</w:t>
            </w:r>
          </w:p>
          <w:p w14:paraId="0A73B12E">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（6分）</w:t>
            </w:r>
          </w:p>
        </w:tc>
        <w:tc>
          <w:tcPr>
            <w:tcW w:w="1971" w:type="dxa"/>
            <w:noWrap/>
            <w:vAlign w:val="center"/>
          </w:tcPr>
          <w:p w14:paraId="63451AC3">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行业地位</w:t>
            </w:r>
          </w:p>
        </w:tc>
        <w:tc>
          <w:tcPr>
            <w:tcW w:w="1200" w:type="dxa"/>
            <w:noWrap/>
            <w:vAlign w:val="center"/>
          </w:tcPr>
          <w:p w14:paraId="12574529">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14:paraId="758F4098">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主体在行业内地位情况，包括行业评奖、行业企业合作情况突出的，得2-3分</w:t>
            </w:r>
          </w:p>
          <w:p w14:paraId="45A5D0DA">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主体在行业内地位情况，包括行业评奖、行业企业合作情况</w:t>
            </w:r>
            <w:r>
              <w:rPr>
                <w:rFonts w:hint="default" w:ascii="Times New Roman" w:hAnsi="Times New Roman" w:eastAsia="仿宋_GB2312" w:cs="Times New Roman"/>
                <w:color w:val="auto"/>
                <w:kern w:val="0"/>
                <w:sz w:val="24"/>
                <w:szCs w:val="24"/>
                <w:lang w:val="en-US" w:eastAsia="zh-CN"/>
              </w:rPr>
              <w:t>良好</w:t>
            </w:r>
            <w:r>
              <w:rPr>
                <w:rFonts w:hint="default" w:ascii="Times New Roman" w:hAnsi="Times New Roman" w:eastAsia="仿宋_GB2312" w:cs="Times New Roman"/>
                <w:color w:val="auto"/>
                <w:kern w:val="0"/>
                <w:sz w:val="24"/>
                <w:szCs w:val="24"/>
              </w:rPr>
              <w:t>的，得0-1分</w:t>
            </w:r>
          </w:p>
        </w:tc>
        <w:tc>
          <w:tcPr>
            <w:tcW w:w="1488" w:type="dxa"/>
            <w:vAlign w:val="center"/>
          </w:tcPr>
          <w:p w14:paraId="0D606853">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3D0ECCF4">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kern w:val="0"/>
                <w:sz w:val="24"/>
                <w:szCs w:val="24"/>
                <w:u w:val="none"/>
                <w:lang w:val="en-US" w:eastAsia="zh-CN"/>
              </w:rPr>
              <w:t>提供行业奖证明、合作相关合同协议复印件</w:t>
            </w:r>
          </w:p>
        </w:tc>
      </w:tr>
      <w:tr w14:paraId="48A31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260" w:type="dxa"/>
            <w:vMerge w:val="continue"/>
            <w:vAlign w:val="center"/>
          </w:tcPr>
          <w:p w14:paraId="48749E20">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51D1B2F2">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4A93AE52">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参与行业标准</w:t>
            </w:r>
          </w:p>
          <w:p w14:paraId="513A382B">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制定情况</w:t>
            </w:r>
          </w:p>
        </w:tc>
        <w:tc>
          <w:tcPr>
            <w:tcW w:w="1200" w:type="dxa"/>
            <w:noWrap/>
            <w:vAlign w:val="center"/>
          </w:tcPr>
          <w:p w14:paraId="4B682BA3">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14:paraId="17880DC7">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主体参与国际标准制定的，得3分</w:t>
            </w:r>
          </w:p>
          <w:p w14:paraId="305CDBA0">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主体参与国家标准制定的，得2分</w:t>
            </w:r>
          </w:p>
          <w:p w14:paraId="50D22C8A">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主体参与行业标准以及地方标准制定的，得0-1分</w:t>
            </w:r>
          </w:p>
        </w:tc>
        <w:tc>
          <w:tcPr>
            <w:tcW w:w="1488" w:type="dxa"/>
            <w:vAlign w:val="center"/>
          </w:tcPr>
          <w:p w14:paraId="0DBF34AD">
            <w:pPr>
              <w:rPr>
                <w:rFonts w:hint="default" w:ascii="Times New Roman" w:hAnsi="Times New Roman" w:eastAsia="仿宋_GB2312" w:cs="Times New Roman"/>
                <w:color w:val="C00000"/>
                <w:kern w:val="0"/>
                <w:sz w:val="24"/>
                <w:szCs w:val="24"/>
              </w:rPr>
            </w:pPr>
          </w:p>
        </w:tc>
        <w:tc>
          <w:tcPr>
            <w:tcW w:w="2122" w:type="dxa"/>
            <w:vAlign w:val="center"/>
          </w:tcPr>
          <w:p w14:paraId="7C3F3C30">
            <w:pP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提供参与制定标准的文本复印件。</w:t>
            </w:r>
          </w:p>
        </w:tc>
      </w:tr>
      <w:tr w14:paraId="19DD8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260" w:type="dxa"/>
            <w:vMerge w:val="continue"/>
            <w:vAlign w:val="center"/>
          </w:tcPr>
          <w:p w14:paraId="5544C856">
            <w:pPr>
              <w:widowControl/>
              <w:jc w:val="center"/>
              <w:textAlignment w:val="center"/>
              <w:rPr>
                <w:rFonts w:hint="default" w:ascii="Times New Roman" w:hAnsi="Times New Roman" w:eastAsia="仿宋_GB2312" w:cs="Times New Roman"/>
                <w:color w:val="auto"/>
                <w:sz w:val="24"/>
                <w:szCs w:val="24"/>
              </w:rPr>
            </w:pPr>
          </w:p>
        </w:tc>
        <w:tc>
          <w:tcPr>
            <w:tcW w:w="1272" w:type="dxa"/>
            <w:vAlign w:val="center"/>
          </w:tcPr>
          <w:p w14:paraId="0C4E0109">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可持续</w:t>
            </w:r>
          </w:p>
          <w:p w14:paraId="21467343">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发展能力</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（3分）</w:t>
            </w:r>
          </w:p>
        </w:tc>
        <w:tc>
          <w:tcPr>
            <w:tcW w:w="1971" w:type="dxa"/>
            <w:noWrap/>
            <w:vAlign w:val="center"/>
          </w:tcPr>
          <w:p w14:paraId="608014A4">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研发或服务投入</w:t>
            </w:r>
          </w:p>
        </w:tc>
        <w:tc>
          <w:tcPr>
            <w:tcW w:w="1200" w:type="dxa"/>
            <w:noWrap/>
            <w:vAlign w:val="center"/>
          </w:tcPr>
          <w:p w14:paraId="4870F13D">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14:paraId="3E1D7B91">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主体过去三年R&amp;D支出与销售收入比重增长显著的</w:t>
            </w:r>
            <w:r>
              <w:rPr>
                <w:rFonts w:hint="default" w:ascii="Times New Roman" w:hAnsi="Times New Roman" w:eastAsia="仿宋_GB2312" w:cs="Times New Roman"/>
                <w:color w:val="auto"/>
                <w:sz w:val="24"/>
                <w:szCs w:val="24"/>
              </w:rPr>
              <w:t>，得3分</w:t>
            </w:r>
          </w:p>
          <w:p w14:paraId="34B799A0">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主体过去三年R&amp;D支出与销售收入比重增长较高</w:t>
            </w:r>
            <w:r>
              <w:rPr>
                <w:rFonts w:hint="default" w:ascii="Times New Roman" w:hAnsi="Times New Roman" w:eastAsia="仿宋_GB2312" w:cs="Times New Roman"/>
                <w:color w:val="auto"/>
                <w:sz w:val="24"/>
                <w:szCs w:val="24"/>
              </w:rPr>
              <w:t>的，得2分</w:t>
            </w:r>
          </w:p>
          <w:p w14:paraId="3583D4F5">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主体过去三年R&amp;D支出与销售收入比重增长不明显的</w:t>
            </w:r>
            <w:r>
              <w:rPr>
                <w:rFonts w:hint="default" w:ascii="Times New Roman" w:hAnsi="Times New Roman" w:eastAsia="仿宋_GB2312" w:cs="Times New Roman"/>
                <w:color w:val="auto"/>
                <w:sz w:val="24"/>
                <w:szCs w:val="24"/>
              </w:rPr>
              <w:t>，得0-1分</w:t>
            </w:r>
          </w:p>
        </w:tc>
        <w:tc>
          <w:tcPr>
            <w:tcW w:w="1488" w:type="dxa"/>
            <w:vAlign w:val="center"/>
          </w:tcPr>
          <w:p w14:paraId="015EA739">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52F03294">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表《被</w:t>
            </w:r>
            <w:r>
              <w:rPr>
                <w:rFonts w:hint="eastAsia" w:eastAsia="仿宋_GB2312" w:cs="Times New Roman"/>
                <w:b w:val="0"/>
                <w:bCs w:val="0"/>
                <w:i w:val="0"/>
                <w:color w:val="C00000"/>
                <w:kern w:val="2"/>
                <w:sz w:val="24"/>
                <w:szCs w:val="24"/>
                <w:lang w:val="en-US" w:eastAsia="zh-CN" w:bidi="ar"/>
              </w:rPr>
              <w:t>推荐</w:t>
            </w:r>
            <w:r>
              <w:rPr>
                <w:rFonts w:hint="default" w:ascii="Times New Roman" w:hAnsi="Times New Roman" w:eastAsia="仿宋_GB2312" w:cs="Times New Roman"/>
                <w:b w:val="0"/>
                <w:bCs w:val="0"/>
                <w:i w:val="0"/>
                <w:color w:val="C00000"/>
                <w:kern w:val="2"/>
                <w:sz w:val="24"/>
                <w:szCs w:val="24"/>
                <w:lang w:val="en-US" w:eastAsia="zh-CN" w:bidi="ar"/>
              </w:rPr>
              <w:t>项目经济效益说明表》</w:t>
            </w:r>
            <w:r>
              <w:rPr>
                <w:rFonts w:hint="default" w:ascii="Times New Roman" w:hAnsi="Times New Roman" w:eastAsia="仿宋_GB2312" w:cs="Times New Roman"/>
                <w:b w:val="0"/>
                <w:bCs w:val="0"/>
                <w:i w:val="0"/>
                <w:iCs w:val="0"/>
                <w:color w:val="C00000"/>
                <w:sz w:val="24"/>
                <w:szCs w:val="24"/>
                <w:u w:val="none"/>
                <w:lang w:eastAsia="zh-CN"/>
              </w:rPr>
              <w:t>）；提供研发投入与销售收入三年财务报表复印件，并制作比较表格。</w:t>
            </w:r>
          </w:p>
        </w:tc>
      </w:tr>
      <w:tr w14:paraId="4A8BC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60" w:type="dxa"/>
            <w:vMerge w:val="restart"/>
            <w:vAlign w:val="center"/>
          </w:tcPr>
          <w:p w14:paraId="13C0E887">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组织</w:t>
            </w:r>
          </w:p>
          <w:p w14:paraId="45031811">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服务力</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（15分）</w:t>
            </w:r>
          </w:p>
        </w:tc>
        <w:tc>
          <w:tcPr>
            <w:tcW w:w="1272" w:type="dxa"/>
            <w:vMerge w:val="restart"/>
            <w:vAlign w:val="center"/>
          </w:tcPr>
          <w:p w14:paraId="2895BA8E">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建设保障（15分）</w:t>
            </w:r>
          </w:p>
        </w:tc>
        <w:tc>
          <w:tcPr>
            <w:tcW w:w="1971" w:type="dxa"/>
            <w:vAlign w:val="center"/>
          </w:tcPr>
          <w:p w14:paraId="07B2EE26">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组织机构建设</w:t>
            </w:r>
          </w:p>
        </w:tc>
        <w:tc>
          <w:tcPr>
            <w:tcW w:w="1200" w:type="dxa"/>
            <w:vAlign w:val="center"/>
          </w:tcPr>
          <w:p w14:paraId="782119A2">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8分</w:t>
            </w:r>
          </w:p>
        </w:tc>
        <w:tc>
          <w:tcPr>
            <w:tcW w:w="5427" w:type="dxa"/>
            <w:vAlign w:val="center"/>
          </w:tcPr>
          <w:p w14:paraId="7A29D32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1.将重要岗位或所属单位一把手纳入商业秘密保护组织机构</w:t>
            </w:r>
          </w:p>
          <w:p w14:paraId="1FE0BC6F">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2.科学设置保护机构职权</w:t>
            </w:r>
          </w:p>
          <w:p w14:paraId="576BECC2">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3.配备商业秘密专业人才</w:t>
            </w:r>
          </w:p>
          <w:p w14:paraId="226F9D1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4.企业管理层具有商业秘密保护深度认知的</w:t>
            </w:r>
          </w:p>
          <w:p w14:paraId="6AA726FD">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上述4种情形：</w:t>
            </w:r>
          </w:p>
          <w:p w14:paraId="77D0A7FF">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有4项满足的，得7-8分</w:t>
            </w:r>
          </w:p>
          <w:p w14:paraId="17D27E5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有3项满足的，得5-6分</w:t>
            </w:r>
          </w:p>
          <w:p w14:paraId="1E9B1B73">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有2项满足的，得3-4分</w:t>
            </w:r>
          </w:p>
          <w:p w14:paraId="7AE6216E">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有1项满足的，得0-2分</w:t>
            </w:r>
          </w:p>
        </w:tc>
        <w:tc>
          <w:tcPr>
            <w:tcW w:w="1488" w:type="dxa"/>
            <w:vAlign w:val="center"/>
          </w:tcPr>
          <w:p w14:paraId="6F9A7C86">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0706CF44">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提供成立组织机构文件、商业秘密保护制度、职能设置相关证明。</w:t>
            </w:r>
          </w:p>
        </w:tc>
      </w:tr>
      <w:tr w14:paraId="12D1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260" w:type="dxa"/>
            <w:vMerge w:val="continue"/>
            <w:vAlign w:val="center"/>
          </w:tcPr>
          <w:p w14:paraId="0AD9357D">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70A722AF">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37C3498D">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经费保障</w:t>
            </w:r>
          </w:p>
        </w:tc>
        <w:tc>
          <w:tcPr>
            <w:tcW w:w="1200" w:type="dxa"/>
            <w:noWrap/>
            <w:vAlign w:val="center"/>
          </w:tcPr>
          <w:p w14:paraId="7FD83730">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7分</w:t>
            </w:r>
          </w:p>
        </w:tc>
        <w:tc>
          <w:tcPr>
            <w:tcW w:w="5427" w:type="dxa"/>
            <w:vAlign w:val="center"/>
          </w:tcPr>
          <w:p w14:paraId="1879F708">
            <w:pPr>
              <w:widowControl/>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加强商业秘密保护经费保障</w:t>
            </w:r>
            <w:r>
              <w:rPr>
                <w:rFonts w:hint="default" w:ascii="Times New Roman" w:hAnsi="Times New Roman" w:eastAsia="仿宋_GB2312" w:cs="Times New Roman"/>
                <w:color w:val="auto"/>
                <w:kern w:val="0"/>
                <w:sz w:val="24"/>
                <w:szCs w:val="24"/>
                <w:lang w:eastAsia="zh-CN"/>
              </w:rPr>
              <w:t>：</w:t>
            </w:r>
          </w:p>
          <w:p w14:paraId="7464FB5F">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1.企业发放保密津贴</w:t>
            </w:r>
          </w:p>
          <w:p w14:paraId="40E50B43">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2.依法发放竞业限制（或禁止）补偿金</w:t>
            </w:r>
          </w:p>
          <w:p w14:paraId="3572991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w:t>
            </w:r>
            <w:r>
              <w:rPr>
                <w:rFonts w:hint="default" w:ascii="Times New Roman" w:hAnsi="Times New Roman" w:eastAsia="仿宋_GB2312" w:cs="Times New Roman"/>
                <w:color w:val="auto"/>
                <w:kern w:val="0"/>
                <w:sz w:val="24"/>
                <w:szCs w:val="24"/>
                <w:lang w:eastAsia="zh-CN"/>
              </w:rPr>
              <w:t>加强</w:t>
            </w:r>
            <w:r>
              <w:rPr>
                <w:rFonts w:hint="default" w:ascii="Times New Roman" w:hAnsi="Times New Roman" w:eastAsia="仿宋_GB2312" w:cs="Times New Roman"/>
                <w:color w:val="auto"/>
                <w:kern w:val="0"/>
                <w:sz w:val="24"/>
                <w:szCs w:val="24"/>
              </w:rPr>
              <w:t>硬件设施建设</w:t>
            </w:r>
          </w:p>
          <w:p w14:paraId="07ABF34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4.</w:t>
            </w:r>
            <w:r>
              <w:rPr>
                <w:rFonts w:hint="default" w:ascii="Times New Roman" w:hAnsi="Times New Roman" w:eastAsia="仿宋_GB2312" w:cs="Times New Roman"/>
                <w:color w:val="auto"/>
                <w:kern w:val="0"/>
                <w:sz w:val="24"/>
                <w:szCs w:val="24"/>
                <w:lang w:eastAsia="zh-CN"/>
              </w:rPr>
              <w:t>落实</w:t>
            </w:r>
            <w:r>
              <w:rPr>
                <w:rFonts w:hint="default" w:ascii="Times New Roman" w:hAnsi="Times New Roman" w:eastAsia="仿宋_GB2312" w:cs="Times New Roman"/>
                <w:color w:val="auto"/>
                <w:kern w:val="0"/>
                <w:sz w:val="24"/>
                <w:szCs w:val="24"/>
              </w:rPr>
              <w:t>技术防护</w:t>
            </w:r>
          </w:p>
          <w:p w14:paraId="57B0E04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5.</w:t>
            </w:r>
            <w:r>
              <w:rPr>
                <w:rFonts w:hint="default" w:ascii="Times New Roman" w:hAnsi="Times New Roman" w:eastAsia="仿宋_GB2312" w:cs="Times New Roman"/>
                <w:color w:val="auto"/>
                <w:kern w:val="0"/>
                <w:sz w:val="24"/>
                <w:szCs w:val="24"/>
                <w:lang w:eastAsia="zh-CN"/>
              </w:rPr>
              <w:t>落实</w:t>
            </w:r>
            <w:r>
              <w:rPr>
                <w:rFonts w:hint="default" w:ascii="Times New Roman" w:hAnsi="Times New Roman" w:eastAsia="仿宋_GB2312" w:cs="Times New Roman"/>
                <w:color w:val="auto"/>
                <w:kern w:val="0"/>
                <w:sz w:val="24"/>
                <w:szCs w:val="24"/>
              </w:rPr>
              <w:t>购买专业服务等方面经费保障</w:t>
            </w:r>
          </w:p>
          <w:p w14:paraId="47A16C38">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上述5种情况：</w:t>
            </w:r>
          </w:p>
          <w:p w14:paraId="7BCCDA2D">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有5项满足的，得6-7分</w:t>
            </w:r>
          </w:p>
          <w:p w14:paraId="08A9C2F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有4项满足的，得4-5分</w:t>
            </w:r>
          </w:p>
          <w:p w14:paraId="392F25E2">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有3项满足的，得3分</w:t>
            </w:r>
          </w:p>
          <w:p w14:paraId="4AD3640D">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有2项满足的，得2分</w:t>
            </w:r>
          </w:p>
          <w:p w14:paraId="081E92CF">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有1项满足的，得0-1分</w:t>
            </w:r>
          </w:p>
        </w:tc>
        <w:tc>
          <w:tcPr>
            <w:tcW w:w="1488" w:type="dxa"/>
            <w:vAlign w:val="center"/>
          </w:tcPr>
          <w:p w14:paraId="0CBB43C3">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238B79A8">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提供保密津贴、</w:t>
            </w:r>
            <w:r>
              <w:rPr>
                <w:rFonts w:hint="default" w:ascii="Times New Roman" w:hAnsi="Times New Roman" w:eastAsia="仿宋_GB2312" w:cs="Times New Roman"/>
                <w:color w:val="C00000"/>
                <w:kern w:val="0"/>
                <w:sz w:val="24"/>
                <w:szCs w:val="24"/>
              </w:rPr>
              <w:t>竞业限制（或禁止）补偿金</w:t>
            </w:r>
            <w:r>
              <w:rPr>
                <w:rFonts w:hint="default" w:ascii="Times New Roman" w:hAnsi="Times New Roman" w:eastAsia="仿宋_GB2312" w:cs="Times New Roman"/>
                <w:color w:val="C00000"/>
                <w:kern w:val="0"/>
                <w:sz w:val="24"/>
                <w:szCs w:val="24"/>
                <w:lang w:eastAsia="zh-CN"/>
              </w:rPr>
              <w:t>、硬件设施建设照片和建设费用证明、技术防护和购买专业服务经费证明。</w:t>
            </w:r>
          </w:p>
        </w:tc>
      </w:tr>
      <w:tr w14:paraId="1824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1260" w:type="dxa"/>
            <w:vMerge w:val="restart"/>
            <w:vAlign w:val="center"/>
          </w:tcPr>
          <w:p w14:paraId="060627BA">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商业秘密管理体系（30分）</w:t>
            </w:r>
          </w:p>
        </w:tc>
        <w:tc>
          <w:tcPr>
            <w:tcW w:w="1272" w:type="dxa"/>
            <w:vMerge w:val="restart"/>
            <w:vAlign w:val="center"/>
          </w:tcPr>
          <w:p w14:paraId="19E1FA15">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机制建设</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（30分）</w:t>
            </w:r>
          </w:p>
        </w:tc>
        <w:tc>
          <w:tcPr>
            <w:tcW w:w="1971" w:type="dxa"/>
            <w:noWrap/>
            <w:vAlign w:val="center"/>
          </w:tcPr>
          <w:p w14:paraId="009FF827">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管理制度建设</w:t>
            </w:r>
          </w:p>
        </w:tc>
        <w:tc>
          <w:tcPr>
            <w:tcW w:w="1200" w:type="dxa"/>
            <w:noWrap/>
            <w:vAlign w:val="center"/>
          </w:tcPr>
          <w:p w14:paraId="342031C8">
            <w:pPr>
              <w:widowControl/>
              <w:jc w:val="center"/>
              <w:textAlignment w:val="center"/>
              <w:rPr>
                <w:rFonts w:hint="default" w:ascii="Times New Roman" w:hAnsi="Times New Roman" w:eastAsia="仿宋_GB2312" w:cs="Times New Roman"/>
                <w:color w:val="auto"/>
                <w:sz w:val="24"/>
                <w:szCs w:val="24"/>
              </w:rPr>
            </w:pPr>
          </w:p>
          <w:p w14:paraId="54E53418">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10分</w:t>
            </w:r>
          </w:p>
        </w:tc>
        <w:tc>
          <w:tcPr>
            <w:tcW w:w="5427" w:type="dxa"/>
            <w:vAlign w:val="center"/>
          </w:tcPr>
          <w:p w14:paraId="0DB1C13C">
            <w:pPr>
              <w:widowControl/>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根据《企业知识产权管理规范》（GB/T 29490-2013）及浙江省地方标准《商业秘密保护管理与服务规范》（DB33/T 2273-2020）要求</w:t>
            </w:r>
            <w:r>
              <w:rPr>
                <w:rFonts w:hint="default" w:ascii="Times New Roman" w:hAnsi="Times New Roman" w:eastAsia="仿宋_GB2312" w:cs="Times New Roman"/>
                <w:color w:val="auto"/>
                <w:kern w:val="0"/>
                <w:sz w:val="24"/>
                <w:szCs w:val="24"/>
                <w:lang w:eastAsia="zh-CN"/>
              </w:rPr>
              <w:t>：</w:t>
            </w:r>
          </w:p>
          <w:p w14:paraId="25071E2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1.建立完善的且与商业秘密价值相适应的商业秘密管理制度与措施</w:t>
            </w:r>
          </w:p>
          <w:p w14:paraId="754DEF92">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2.设置专人专岗</w:t>
            </w:r>
          </w:p>
          <w:p w14:paraId="5E979067">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3.科学定密分级管理等制度</w:t>
            </w:r>
          </w:p>
          <w:p w14:paraId="1A254DE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14:paraId="6A4210A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有3项满足的，得8-10分</w:t>
            </w:r>
          </w:p>
          <w:p w14:paraId="70540EFB">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有2项满足的，得4-7分</w:t>
            </w:r>
          </w:p>
          <w:p w14:paraId="1BF3DD12">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有1项满足的，得0-3分</w:t>
            </w:r>
          </w:p>
        </w:tc>
        <w:tc>
          <w:tcPr>
            <w:tcW w:w="1488" w:type="dxa"/>
            <w:vAlign w:val="center"/>
          </w:tcPr>
          <w:p w14:paraId="59056F38">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17677B32">
            <w:pPr>
              <w:widowControl/>
              <w:jc w:val="left"/>
              <w:textAlignment w:val="center"/>
              <w:rPr>
                <w:rFonts w:hint="default" w:ascii="Times New Roman" w:hAnsi="Times New Roman" w:eastAsia="仿宋_GB2312" w:cs="Times New Roman"/>
                <w:color w:val="C00000"/>
                <w:kern w:val="0"/>
                <w:sz w:val="24"/>
                <w:szCs w:val="24"/>
                <w:lang w:val="en"/>
              </w:rPr>
            </w:pPr>
            <w:r>
              <w:rPr>
                <w:rFonts w:hint="default" w:ascii="Times New Roman" w:hAnsi="Times New Roman" w:eastAsia="仿宋_GB2312" w:cs="Times New Roman"/>
                <w:b w:val="0"/>
                <w:bCs w:val="0"/>
                <w:i w:val="0"/>
                <w:iCs w:val="0"/>
                <w:color w:val="C00000"/>
                <w:sz w:val="24"/>
                <w:szCs w:val="24"/>
                <w:u w:val="none"/>
                <w:lang w:eastAsia="zh-CN"/>
              </w:rPr>
              <w:t>提供符合自身实际的制度建设文本、专职人员任命文件和岗位制度、商业秘密保护范围梳理相关证明材料。</w:t>
            </w:r>
          </w:p>
        </w:tc>
      </w:tr>
      <w:tr w14:paraId="3640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260" w:type="dxa"/>
            <w:vMerge w:val="continue"/>
            <w:vAlign w:val="center"/>
          </w:tcPr>
          <w:p w14:paraId="2A7C6867">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7E5811C5">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0A8C1B51">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风险排查和</w:t>
            </w:r>
          </w:p>
          <w:p w14:paraId="1120CBBB">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预警机制建设</w:t>
            </w:r>
          </w:p>
        </w:tc>
        <w:tc>
          <w:tcPr>
            <w:tcW w:w="1200" w:type="dxa"/>
            <w:noWrap/>
            <w:vAlign w:val="center"/>
          </w:tcPr>
          <w:p w14:paraId="1D3095CD">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10分</w:t>
            </w:r>
          </w:p>
        </w:tc>
        <w:tc>
          <w:tcPr>
            <w:tcW w:w="5427" w:type="dxa"/>
            <w:vAlign w:val="center"/>
          </w:tcPr>
          <w:p w14:paraId="12A08B3E">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1.构建商业秘密常态化风险自检排查</w:t>
            </w:r>
          </w:p>
          <w:p w14:paraId="6A903888">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2.构建商业秘密常态化风险评估制度</w:t>
            </w:r>
          </w:p>
          <w:p w14:paraId="4221296B">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3.及时启动预警机制</w:t>
            </w:r>
          </w:p>
          <w:p w14:paraId="0A91DD4B">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14:paraId="69EEF727">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有3项满足的，得8-10分</w:t>
            </w:r>
          </w:p>
          <w:p w14:paraId="48820E6E">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有2项满足的，得4-7分</w:t>
            </w:r>
          </w:p>
          <w:p w14:paraId="1E1FCC2A">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有1项满足的，得0-3分</w:t>
            </w:r>
          </w:p>
        </w:tc>
        <w:tc>
          <w:tcPr>
            <w:tcW w:w="1488" w:type="dxa"/>
            <w:vAlign w:val="center"/>
          </w:tcPr>
          <w:p w14:paraId="56729135">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13C37E1C">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提供建设预警机制文本和风险排查、评估制度及其落地工作留痕证明。</w:t>
            </w:r>
          </w:p>
        </w:tc>
      </w:tr>
      <w:tr w14:paraId="63A65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260" w:type="dxa"/>
            <w:vMerge w:val="continue"/>
            <w:vAlign w:val="center"/>
          </w:tcPr>
          <w:p w14:paraId="79C9CBD5">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6C40AFD2">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1EF43566">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商业秘密保护</w:t>
            </w:r>
          </w:p>
          <w:p w14:paraId="3CCE571F">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管理培训</w:t>
            </w:r>
          </w:p>
        </w:tc>
        <w:tc>
          <w:tcPr>
            <w:tcW w:w="1200" w:type="dxa"/>
            <w:noWrap/>
            <w:vAlign w:val="center"/>
          </w:tcPr>
          <w:p w14:paraId="69FF8109">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10分</w:t>
            </w:r>
          </w:p>
        </w:tc>
        <w:tc>
          <w:tcPr>
            <w:tcW w:w="5427" w:type="dxa"/>
            <w:vAlign w:val="center"/>
          </w:tcPr>
          <w:p w14:paraId="7C0A8C1D">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根据实情开展多形式的商业秘密保护宣传：</w:t>
            </w:r>
          </w:p>
          <w:p w14:paraId="6AD8641A">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1.为3种层次人员提供不少于10次商业秘密保护专题培训的，得9-10分，少于10次的，得7-8分</w:t>
            </w:r>
          </w:p>
          <w:p w14:paraId="7A63E100">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2.为2种层次人员提供不少于10次商业秘密保护专题培训的，得5-6分，少于10次的，得3-4分</w:t>
            </w:r>
          </w:p>
          <w:p w14:paraId="7A5C38B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3.为1种层次人员提供不少于10次商业秘密保护专题培训的，得0-2分</w:t>
            </w:r>
          </w:p>
        </w:tc>
        <w:tc>
          <w:tcPr>
            <w:tcW w:w="1488" w:type="dxa"/>
            <w:vAlign w:val="center"/>
          </w:tcPr>
          <w:p w14:paraId="50930238">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2BBE6295">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分别提供高层、中层（含技术骨干）、一线员工培训的通知、培训内容、签名等相关证明材料。</w:t>
            </w:r>
          </w:p>
        </w:tc>
      </w:tr>
      <w:tr w14:paraId="6B78A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260" w:type="dxa"/>
            <w:vMerge w:val="restart"/>
            <w:vAlign w:val="center"/>
          </w:tcPr>
          <w:p w14:paraId="26AC0E27">
            <w:pPr>
              <w:widowControl/>
              <w:jc w:val="center"/>
              <w:textAlignment w:val="center"/>
              <w:rPr>
                <w:rFonts w:hint="default" w:ascii="Times New Roman" w:hAnsi="Times New Roman" w:eastAsia="仿宋_GB2312" w:cs="Times New Roman"/>
                <w:color w:val="auto"/>
                <w:sz w:val="24"/>
                <w:szCs w:val="24"/>
              </w:rPr>
            </w:pPr>
          </w:p>
          <w:p w14:paraId="5C5846C7">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商业秘密保护体系（40分）</w:t>
            </w:r>
          </w:p>
        </w:tc>
        <w:tc>
          <w:tcPr>
            <w:tcW w:w="1272" w:type="dxa"/>
            <w:vMerge w:val="restart"/>
            <w:vAlign w:val="center"/>
          </w:tcPr>
          <w:p w14:paraId="63B76414">
            <w:pPr>
              <w:widowControl/>
              <w:jc w:val="center"/>
              <w:textAlignment w:val="center"/>
              <w:rPr>
                <w:rFonts w:hint="default" w:ascii="Times New Roman" w:hAnsi="Times New Roman" w:eastAsia="仿宋_GB2312" w:cs="Times New Roman"/>
                <w:color w:val="auto"/>
                <w:sz w:val="24"/>
                <w:szCs w:val="24"/>
              </w:rPr>
            </w:pPr>
          </w:p>
          <w:p w14:paraId="5129039D">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权益维护（20分）</w:t>
            </w:r>
          </w:p>
        </w:tc>
        <w:tc>
          <w:tcPr>
            <w:tcW w:w="1971" w:type="dxa"/>
            <w:noWrap/>
            <w:vAlign w:val="center"/>
          </w:tcPr>
          <w:p w14:paraId="0246E670">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保护策略制定</w:t>
            </w:r>
          </w:p>
        </w:tc>
        <w:tc>
          <w:tcPr>
            <w:tcW w:w="1200" w:type="dxa"/>
            <w:noWrap/>
            <w:vAlign w:val="center"/>
          </w:tcPr>
          <w:p w14:paraId="53071CB9">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6</w:t>
            </w:r>
            <w:r>
              <w:rPr>
                <w:rFonts w:hint="default" w:ascii="Times New Roman" w:hAnsi="Times New Roman" w:eastAsia="仿宋_GB2312" w:cs="Times New Roman"/>
                <w:color w:val="auto"/>
                <w:sz w:val="24"/>
                <w:szCs w:val="24"/>
              </w:rPr>
              <w:t>分</w:t>
            </w:r>
          </w:p>
        </w:tc>
        <w:tc>
          <w:tcPr>
            <w:tcW w:w="5427" w:type="dxa"/>
            <w:vAlign w:val="center"/>
          </w:tcPr>
          <w:p w14:paraId="721A4780">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根据商业秘密事项内容与业务经营活动特点</w:t>
            </w:r>
            <w:r>
              <w:rPr>
                <w:rFonts w:hint="default" w:ascii="Times New Roman" w:hAnsi="Times New Roman" w:eastAsia="仿宋_GB2312" w:cs="Times New Roman"/>
                <w:color w:val="auto"/>
                <w:kern w:val="0"/>
                <w:sz w:val="24"/>
                <w:szCs w:val="24"/>
                <w:lang w:eastAsia="zh-CN"/>
              </w:rPr>
              <w:t>：</w:t>
            </w:r>
          </w:p>
          <w:p w14:paraId="657999B7">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1.编制兼顾企业保密管理与经营活动效率的保密措施方案</w:t>
            </w:r>
          </w:p>
          <w:p w14:paraId="2A2C6706">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2.保密措施方案突出商业秘密重点区域防范保护</w:t>
            </w:r>
          </w:p>
          <w:p w14:paraId="20DDCD73">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3.保密措施方案实行动态调整的</w:t>
            </w:r>
          </w:p>
          <w:p w14:paraId="171E1036">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14:paraId="7EE28E27">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有3项满足的，得4-6分</w:t>
            </w:r>
          </w:p>
          <w:p w14:paraId="3E8B6753">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有2项满足的，得2-3分</w:t>
            </w:r>
          </w:p>
          <w:p w14:paraId="3736E33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有1项满足的，得0-1分</w:t>
            </w:r>
          </w:p>
        </w:tc>
        <w:tc>
          <w:tcPr>
            <w:tcW w:w="1488" w:type="dxa"/>
            <w:vAlign w:val="center"/>
          </w:tcPr>
          <w:p w14:paraId="64D3E3C5">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27172891">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提供保密措施方案。</w:t>
            </w:r>
          </w:p>
        </w:tc>
      </w:tr>
      <w:tr w14:paraId="46FA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260" w:type="dxa"/>
            <w:vMerge w:val="continue"/>
            <w:vAlign w:val="center"/>
          </w:tcPr>
          <w:p w14:paraId="6560B253">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58003411">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757E8B59">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应急处置</w:t>
            </w:r>
          </w:p>
        </w:tc>
        <w:tc>
          <w:tcPr>
            <w:tcW w:w="1200" w:type="dxa"/>
            <w:noWrap/>
            <w:vAlign w:val="center"/>
          </w:tcPr>
          <w:p w14:paraId="7F2FDD35">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6</w:t>
            </w:r>
            <w:r>
              <w:rPr>
                <w:rFonts w:hint="default" w:ascii="Times New Roman" w:hAnsi="Times New Roman" w:eastAsia="仿宋_GB2312" w:cs="Times New Roman"/>
                <w:color w:val="auto"/>
                <w:sz w:val="24"/>
                <w:szCs w:val="24"/>
              </w:rPr>
              <w:t>分</w:t>
            </w:r>
          </w:p>
        </w:tc>
        <w:tc>
          <w:tcPr>
            <w:tcW w:w="5427" w:type="dxa"/>
            <w:vAlign w:val="center"/>
          </w:tcPr>
          <w:p w14:paraId="1994D33F">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1.制定商业秘密泄密紧急处理预案</w:t>
            </w:r>
          </w:p>
          <w:p w14:paraId="1AF7E65F">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2.建立应对流程，快速有效处理泄密事件</w:t>
            </w:r>
          </w:p>
          <w:p w14:paraId="4D61060F">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3.评估应急处置的科学有效性</w:t>
            </w:r>
          </w:p>
          <w:p w14:paraId="4FF0592B">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14:paraId="0EC0DAD5">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w:t>
            </w:r>
            <w:r>
              <w:rPr>
                <w:rFonts w:hint="default" w:ascii="Times New Roman" w:hAnsi="Times New Roman" w:eastAsia="仿宋_GB2312" w:cs="Times New Roman"/>
                <w:color w:val="auto"/>
                <w:kern w:val="0"/>
                <w:sz w:val="24"/>
                <w:szCs w:val="24"/>
                <w:lang w:val="en-US" w:eastAsia="zh-CN"/>
              </w:rPr>
              <w:t>4-6</w:t>
            </w:r>
            <w:r>
              <w:rPr>
                <w:rFonts w:hint="default" w:ascii="Times New Roman" w:hAnsi="Times New Roman" w:eastAsia="仿宋_GB2312" w:cs="Times New Roman"/>
                <w:color w:val="auto"/>
                <w:kern w:val="0"/>
                <w:sz w:val="24"/>
                <w:szCs w:val="24"/>
              </w:rPr>
              <w:t>分</w:t>
            </w:r>
          </w:p>
          <w:p w14:paraId="6B64423E">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w:t>
            </w:r>
            <w:r>
              <w:rPr>
                <w:rFonts w:hint="default" w:ascii="Times New Roman" w:hAnsi="Times New Roman" w:eastAsia="仿宋_GB2312" w:cs="Times New Roman"/>
                <w:color w:val="auto"/>
                <w:kern w:val="0"/>
                <w:sz w:val="24"/>
                <w:szCs w:val="24"/>
                <w:lang w:val="en-US" w:eastAsia="zh-CN"/>
              </w:rPr>
              <w:t>2</w:t>
            </w: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3</w:t>
            </w:r>
            <w:r>
              <w:rPr>
                <w:rFonts w:hint="default" w:ascii="Times New Roman" w:hAnsi="Times New Roman" w:eastAsia="仿宋_GB2312" w:cs="Times New Roman"/>
                <w:color w:val="auto"/>
                <w:kern w:val="0"/>
                <w:sz w:val="24"/>
                <w:szCs w:val="24"/>
              </w:rPr>
              <w:t>分</w:t>
            </w:r>
          </w:p>
          <w:p w14:paraId="63CB2AD8">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w:t>
            </w:r>
            <w:r>
              <w:rPr>
                <w:rFonts w:hint="default" w:ascii="Times New Roman" w:hAnsi="Times New Roman" w:eastAsia="仿宋_GB2312" w:cs="Times New Roman"/>
                <w:color w:val="auto"/>
                <w:kern w:val="0"/>
                <w:sz w:val="24"/>
                <w:szCs w:val="24"/>
                <w:lang w:val="en-US" w:eastAsia="zh-CN"/>
              </w:rPr>
              <w:t>1</w:t>
            </w:r>
            <w:r>
              <w:rPr>
                <w:rFonts w:hint="default" w:ascii="Times New Roman" w:hAnsi="Times New Roman" w:eastAsia="仿宋_GB2312" w:cs="Times New Roman"/>
                <w:color w:val="auto"/>
                <w:kern w:val="0"/>
                <w:sz w:val="24"/>
                <w:szCs w:val="24"/>
              </w:rPr>
              <w:t>分</w:t>
            </w:r>
          </w:p>
        </w:tc>
        <w:tc>
          <w:tcPr>
            <w:tcW w:w="1488" w:type="dxa"/>
            <w:vAlign w:val="center"/>
          </w:tcPr>
          <w:p w14:paraId="4C0E7026">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2090BE56">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提供紧急处理预案、处置流程</w:t>
            </w:r>
          </w:p>
        </w:tc>
      </w:tr>
      <w:tr w14:paraId="06957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260" w:type="dxa"/>
            <w:vMerge w:val="continue"/>
            <w:vAlign w:val="center"/>
          </w:tcPr>
          <w:p w14:paraId="35A951D2">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449FE388">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682CEDC7">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保护</w:t>
            </w:r>
            <w:r>
              <w:rPr>
                <w:rFonts w:hint="default" w:ascii="Times New Roman" w:hAnsi="Times New Roman" w:eastAsia="仿宋_GB2312" w:cs="Times New Roman"/>
                <w:color w:val="auto"/>
                <w:sz w:val="24"/>
                <w:szCs w:val="24"/>
              </w:rPr>
              <w:t>成效</w:t>
            </w:r>
          </w:p>
        </w:tc>
        <w:tc>
          <w:tcPr>
            <w:tcW w:w="1200" w:type="dxa"/>
            <w:noWrap/>
            <w:vAlign w:val="center"/>
          </w:tcPr>
          <w:p w14:paraId="10A88673">
            <w:pPr>
              <w:widowControl/>
              <w:jc w:val="center"/>
              <w:textAlignment w:val="center"/>
              <w:rPr>
                <w:rFonts w:hint="default" w:ascii="Times New Roman" w:hAnsi="Times New Roman" w:eastAsia="仿宋_GB2312" w:cs="Times New Roman"/>
                <w:color w:val="auto"/>
                <w:sz w:val="24"/>
                <w:szCs w:val="24"/>
              </w:rPr>
            </w:pPr>
          </w:p>
          <w:p w14:paraId="15EE0425">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8</w:t>
            </w:r>
            <w:r>
              <w:rPr>
                <w:rFonts w:hint="default" w:ascii="Times New Roman" w:hAnsi="Times New Roman" w:eastAsia="仿宋_GB2312" w:cs="Times New Roman"/>
                <w:color w:val="auto"/>
                <w:sz w:val="24"/>
                <w:szCs w:val="24"/>
              </w:rPr>
              <w:t>分</w:t>
            </w:r>
          </w:p>
        </w:tc>
        <w:tc>
          <w:tcPr>
            <w:tcW w:w="5427" w:type="dxa"/>
            <w:vAlign w:val="center"/>
          </w:tcPr>
          <w:p w14:paraId="3A3F9D7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1.商业秘密一旦被侵犯，成功获得行政部门的行政保护和公检法机关的刑事保护和民事保护，或被恶意诉讼侵权，能够抗辩成功，或企业自查机制及时发现侵权风险，及时制止风险发生</w:t>
            </w:r>
          </w:p>
          <w:p w14:paraId="6A2B7FA2">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2.判赔金额、和解金额、调解金额达到诉讼请求赔偿金额的80%以上，或被恶意诉讼侵权，能够抗辩成功</w:t>
            </w:r>
          </w:p>
          <w:p w14:paraId="5878F780">
            <w:pPr>
              <w:widowControl/>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3.相关</w:t>
            </w:r>
            <w:r>
              <w:rPr>
                <w:rFonts w:hint="default" w:ascii="Times New Roman" w:hAnsi="Times New Roman" w:eastAsia="仿宋_GB2312" w:cs="Times New Roman"/>
                <w:color w:val="auto"/>
                <w:kern w:val="0"/>
                <w:sz w:val="24"/>
                <w:szCs w:val="24"/>
                <w:lang w:val="en-US" w:eastAsia="zh-CN"/>
              </w:rPr>
              <w:t>经验做法被</w:t>
            </w:r>
            <w:r>
              <w:rPr>
                <w:rFonts w:hint="default" w:ascii="Times New Roman" w:hAnsi="Times New Roman" w:eastAsia="仿宋_GB2312" w:cs="Times New Roman"/>
                <w:color w:val="auto"/>
                <w:kern w:val="0"/>
                <w:sz w:val="24"/>
                <w:szCs w:val="24"/>
              </w:rPr>
              <w:t>评为典型案例</w:t>
            </w:r>
            <w:r>
              <w:rPr>
                <w:rFonts w:hint="default" w:ascii="Times New Roman" w:hAnsi="Times New Roman" w:eastAsia="仿宋_GB2312" w:cs="Times New Roman"/>
                <w:color w:val="auto"/>
                <w:kern w:val="0"/>
                <w:sz w:val="24"/>
                <w:szCs w:val="24"/>
                <w:lang w:eastAsia="zh-CN"/>
              </w:rPr>
              <w:t>的</w:t>
            </w:r>
          </w:p>
          <w:p w14:paraId="5BFDFBCB">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14:paraId="3129C815">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w:t>
            </w:r>
            <w:r>
              <w:rPr>
                <w:rFonts w:hint="default" w:ascii="Times New Roman" w:hAnsi="Times New Roman" w:eastAsia="仿宋_GB2312" w:cs="Times New Roman"/>
                <w:color w:val="auto"/>
                <w:kern w:val="0"/>
                <w:sz w:val="24"/>
                <w:szCs w:val="24"/>
                <w:lang w:val="en-US" w:eastAsia="zh-CN"/>
              </w:rPr>
              <w:t>6</w:t>
            </w: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8</w:t>
            </w:r>
            <w:r>
              <w:rPr>
                <w:rFonts w:hint="default" w:ascii="Times New Roman" w:hAnsi="Times New Roman" w:eastAsia="仿宋_GB2312" w:cs="Times New Roman"/>
                <w:color w:val="auto"/>
                <w:kern w:val="0"/>
                <w:sz w:val="24"/>
                <w:szCs w:val="24"/>
              </w:rPr>
              <w:t>分</w:t>
            </w:r>
          </w:p>
          <w:p w14:paraId="37B494BF">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w:t>
            </w:r>
            <w:r>
              <w:rPr>
                <w:rFonts w:hint="default" w:ascii="Times New Roman" w:hAnsi="Times New Roman" w:eastAsia="仿宋_GB2312" w:cs="Times New Roman"/>
                <w:color w:val="auto"/>
                <w:kern w:val="0"/>
                <w:sz w:val="24"/>
                <w:szCs w:val="24"/>
                <w:lang w:val="en-US" w:eastAsia="zh-CN"/>
              </w:rPr>
              <w:t>4</w:t>
            </w: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5</w:t>
            </w:r>
            <w:r>
              <w:rPr>
                <w:rFonts w:hint="default" w:ascii="Times New Roman" w:hAnsi="Times New Roman" w:eastAsia="仿宋_GB2312" w:cs="Times New Roman"/>
                <w:color w:val="auto"/>
                <w:kern w:val="0"/>
                <w:sz w:val="24"/>
                <w:szCs w:val="24"/>
              </w:rPr>
              <w:t>分</w:t>
            </w:r>
          </w:p>
          <w:p w14:paraId="5532AE9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w:t>
            </w:r>
            <w:r>
              <w:rPr>
                <w:rFonts w:hint="default" w:ascii="Times New Roman" w:hAnsi="Times New Roman" w:eastAsia="仿宋_GB2312" w:cs="Times New Roman"/>
                <w:color w:val="auto"/>
                <w:kern w:val="0"/>
                <w:sz w:val="24"/>
                <w:szCs w:val="24"/>
                <w:lang w:val="en-US" w:eastAsia="zh-CN"/>
              </w:rPr>
              <w:t>3</w:t>
            </w:r>
            <w:r>
              <w:rPr>
                <w:rFonts w:hint="default" w:ascii="Times New Roman" w:hAnsi="Times New Roman" w:eastAsia="仿宋_GB2312" w:cs="Times New Roman"/>
                <w:color w:val="auto"/>
                <w:kern w:val="0"/>
                <w:sz w:val="24"/>
                <w:szCs w:val="24"/>
              </w:rPr>
              <w:t>分</w:t>
            </w:r>
          </w:p>
        </w:tc>
        <w:tc>
          <w:tcPr>
            <w:tcW w:w="1488" w:type="dxa"/>
            <w:vAlign w:val="center"/>
          </w:tcPr>
          <w:p w14:paraId="097DD085">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14C6D47C">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提供典型案例、维权成功的法律文书或风险排查除险成功的相关记录、会议纪要等相关证明材料。</w:t>
            </w:r>
          </w:p>
        </w:tc>
      </w:tr>
      <w:tr w14:paraId="221E5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1260" w:type="dxa"/>
            <w:vMerge w:val="continue"/>
            <w:vAlign w:val="center"/>
          </w:tcPr>
          <w:p w14:paraId="19C54529">
            <w:pPr>
              <w:widowControl/>
              <w:jc w:val="center"/>
              <w:textAlignment w:val="center"/>
              <w:rPr>
                <w:rFonts w:hint="default" w:ascii="Times New Roman" w:hAnsi="Times New Roman" w:eastAsia="仿宋_GB2312" w:cs="Times New Roman"/>
                <w:color w:val="auto"/>
                <w:sz w:val="24"/>
                <w:szCs w:val="24"/>
              </w:rPr>
            </w:pPr>
          </w:p>
        </w:tc>
        <w:tc>
          <w:tcPr>
            <w:tcW w:w="1272" w:type="dxa"/>
            <w:vMerge w:val="restart"/>
            <w:vAlign w:val="center"/>
          </w:tcPr>
          <w:p w14:paraId="104D4CC2">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示范辐射（20分）</w:t>
            </w:r>
          </w:p>
        </w:tc>
        <w:tc>
          <w:tcPr>
            <w:tcW w:w="1971" w:type="dxa"/>
            <w:noWrap/>
            <w:vAlign w:val="center"/>
          </w:tcPr>
          <w:p w14:paraId="46D64EBF">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贯彻省级</w:t>
            </w:r>
          </w:p>
          <w:p w14:paraId="5A3653D6">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地方标准</w:t>
            </w:r>
          </w:p>
        </w:tc>
        <w:tc>
          <w:tcPr>
            <w:tcW w:w="1200" w:type="dxa"/>
            <w:noWrap/>
            <w:vAlign w:val="center"/>
          </w:tcPr>
          <w:p w14:paraId="52196972">
            <w:pPr>
              <w:widowControl/>
              <w:jc w:val="center"/>
              <w:textAlignment w:val="center"/>
              <w:rPr>
                <w:rFonts w:hint="default" w:ascii="Times New Roman" w:hAnsi="Times New Roman" w:eastAsia="仿宋_GB2312" w:cs="Times New Roman"/>
                <w:color w:val="auto"/>
                <w:sz w:val="24"/>
                <w:szCs w:val="24"/>
              </w:rPr>
            </w:pPr>
          </w:p>
          <w:p w14:paraId="2D36ABA8">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5分</w:t>
            </w:r>
          </w:p>
        </w:tc>
        <w:tc>
          <w:tcPr>
            <w:tcW w:w="5427" w:type="dxa"/>
            <w:vAlign w:val="center"/>
          </w:tcPr>
          <w:p w14:paraId="40DD373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实施《商业秘密保护管理与服务规范》（DB33/T 2273-2020）浙江省地方标准，</w:t>
            </w:r>
          </w:p>
          <w:p w14:paraId="75928F37">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1.成功创建省级（含）以上商业秘密保护基地，提升自身竞争力和合作软实力</w:t>
            </w:r>
          </w:p>
          <w:p w14:paraId="5C846328">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2.将商业秘密保护设置为合作条件，推动上下游产业及行业企业商业秘密保护意识和能力提升</w:t>
            </w:r>
          </w:p>
          <w:p w14:paraId="632C934E">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上述2种情况：</w:t>
            </w:r>
          </w:p>
          <w:p w14:paraId="1B740516">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有2项满足的，得3-5分</w:t>
            </w:r>
          </w:p>
          <w:p w14:paraId="43BC2049">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有1项满足的，得0-2分</w:t>
            </w:r>
          </w:p>
        </w:tc>
        <w:tc>
          <w:tcPr>
            <w:tcW w:w="1488" w:type="dxa"/>
            <w:vAlign w:val="center"/>
          </w:tcPr>
          <w:p w14:paraId="6403D106">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5C0AB124">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提供创建成功认定文件、招标或合作协议复印件。</w:t>
            </w:r>
          </w:p>
        </w:tc>
      </w:tr>
      <w:tr w14:paraId="65BD8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0" w:type="dxa"/>
            <w:vMerge w:val="continue"/>
            <w:vAlign w:val="center"/>
          </w:tcPr>
          <w:p w14:paraId="2AFE64AA">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068A638B">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1CD161CB">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引领性</w:t>
            </w:r>
          </w:p>
        </w:tc>
        <w:tc>
          <w:tcPr>
            <w:tcW w:w="1200" w:type="dxa"/>
            <w:noWrap/>
            <w:vAlign w:val="center"/>
          </w:tcPr>
          <w:p w14:paraId="3CB29B9D">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8分</w:t>
            </w:r>
          </w:p>
        </w:tc>
        <w:tc>
          <w:tcPr>
            <w:tcW w:w="5427" w:type="dxa"/>
            <w:vAlign w:val="center"/>
          </w:tcPr>
          <w:p w14:paraId="3357509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1.实现商业秘密保护技术或制度重大突破</w:t>
            </w:r>
          </w:p>
          <w:p w14:paraId="390B3BD1">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2.综合保护体系更新完善后，2年内未发生被侵权事件，或遭到网络攻击能够迅即启动技术防护系统免遭侵害</w:t>
            </w:r>
          </w:p>
          <w:p w14:paraId="39B21047">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3.3年内未侵犯他人商业秘密</w:t>
            </w:r>
          </w:p>
          <w:p w14:paraId="7FF8BA73">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14:paraId="084DFFB7">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有3项满足的，得6-8分</w:t>
            </w:r>
          </w:p>
          <w:p w14:paraId="05C734C4">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有2项满足的，得4-5分</w:t>
            </w:r>
          </w:p>
          <w:p w14:paraId="5114C5BC">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有1项满足的，得0-3分</w:t>
            </w:r>
          </w:p>
        </w:tc>
        <w:tc>
          <w:tcPr>
            <w:tcW w:w="1488" w:type="dxa"/>
            <w:vAlign w:val="center"/>
          </w:tcPr>
          <w:p w14:paraId="5B6F746F">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7D9ACB00">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提供保护技术或制度重大突破说明、没有被侵权和侵权的书面承诺材料。</w:t>
            </w:r>
          </w:p>
        </w:tc>
      </w:tr>
      <w:tr w14:paraId="0BDBA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260" w:type="dxa"/>
            <w:vMerge w:val="continue"/>
            <w:vAlign w:val="center"/>
          </w:tcPr>
          <w:p w14:paraId="06110A54">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14:paraId="54CD13CE">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14:paraId="4849396D">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涉密重要岗位</w:t>
            </w:r>
          </w:p>
          <w:p w14:paraId="0630EEF8">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骨干队伍稳定性</w:t>
            </w:r>
          </w:p>
        </w:tc>
        <w:tc>
          <w:tcPr>
            <w:tcW w:w="1200" w:type="dxa"/>
            <w:noWrap/>
            <w:vAlign w:val="center"/>
          </w:tcPr>
          <w:p w14:paraId="457BA7FC">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7分</w:t>
            </w:r>
          </w:p>
        </w:tc>
        <w:tc>
          <w:tcPr>
            <w:tcW w:w="5427" w:type="dxa"/>
            <w:vAlign w:val="center"/>
          </w:tcPr>
          <w:p w14:paraId="069F73D7">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1.涉密重要岗位骨干近三年没有非正常离职或跳槽现象</w:t>
            </w:r>
          </w:p>
          <w:p w14:paraId="6520B34E">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2.人员稳定比例居90%以上</w:t>
            </w:r>
          </w:p>
          <w:p w14:paraId="461F5E3D">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3.重要岗位没有招录涉密风险人员</w:t>
            </w:r>
          </w:p>
          <w:p w14:paraId="02615DD7">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14:paraId="3F3AC7D9">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有3项满足的，得5-7分</w:t>
            </w:r>
          </w:p>
          <w:p w14:paraId="024C7390">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有2项满足的，得3-4分</w:t>
            </w:r>
          </w:p>
          <w:p w14:paraId="3173721D">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有1项满足的，得0-2分</w:t>
            </w:r>
          </w:p>
        </w:tc>
        <w:tc>
          <w:tcPr>
            <w:tcW w:w="1488" w:type="dxa"/>
            <w:vAlign w:val="center"/>
          </w:tcPr>
          <w:p w14:paraId="733CD504">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14:paraId="38CB7845">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color w:val="C00000"/>
                <w:kern w:val="0"/>
                <w:sz w:val="24"/>
                <w:szCs w:val="24"/>
                <w:lang w:eastAsia="zh-CN"/>
              </w:rPr>
              <w:t>提供没有因</w:t>
            </w:r>
            <w:r>
              <w:rPr>
                <w:rFonts w:hint="default" w:ascii="Times New Roman" w:hAnsi="Times New Roman" w:eastAsia="仿宋_GB2312" w:cs="Times New Roman"/>
                <w:color w:val="C00000"/>
                <w:kern w:val="0"/>
                <w:sz w:val="24"/>
                <w:szCs w:val="24"/>
              </w:rPr>
              <w:t>非正常离职或跳槽</w:t>
            </w:r>
            <w:r>
              <w:rPr>
                <w:rFonts w:hint="default" w:ascii="Times New Roman" w:hAnsi="Times New Roman" w:eastAsia="仿宋_GB2312" w:cs="Times New Roman"/>
                <w:color w:val="C00000"/>
                <w:kern w:val="0"/>
                <w:sz w:val="24"/>
                <w:szCs w:val="24"/>
                <w:lang w:eastAsia="zh-CN"/>
              </w:rPr>
              <w:t>引起纠纷等书面承诺材料。</w:t>
            </w:r>
          </w:p>
        </w:tc>
      </w:tr>
    </w:tbl>
    <w:p w14:paraId="4D57173A">
      <w:pPr>
        <w:pStyle w:val="7"/>
        <w:ind w:left="0" w:leftChars="0" w:firstLine="0" w:firstLineChars="0"/>
      </w:pPr>
    </w:p>
    <w:sectPr>
      <w:footerReference r:id="rId4" w:type="default"/>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977E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5875C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75875C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6EB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0986B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90986B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0970828"/>
    <w:rsid w:val="031A2E74"/>
    <w:rsid w:val="048B0F26"/>
    <w:rsid w:val="049FABE3"/>
    <w:rsid w:val="05B791EB"/>
    <w:rsid w:val="05D062BD"/>
    <w:rsid w:val="065347BE"/>
    <w:rsid w:val="06ED63EF"/>
    <w:rsid w:val="08BB0970"/>
    <w:rsid w:val="094B3B92"/>
    <w:rsid w:val="099F5C8C"/>
    <w:rsid w:val="0B487A5E"/>
    <w:rsid w:val="0C9D2956"/>
    <w:rsid w:val="0CB53EF5"/>
    <w:rsid w:val="0FCF5E44"/>
    <w:rsid w:val="10C8597A"/>
    <w:rsid w:val="11B6233D"/>
    <w:rsid w:val="13EB3567"/>
    <w:rsid w:val="155160DD"/>
    <w:rsid w:val="18567E5D"/>
    <w:rsid w:val="18FA9DF4"/>
    <w:rsid w:val="19650595"/>
    <w:rsid w:val="1CE26164"/>
    <w:rsid w:val="1FAC1A1D"/>
    <w:rsid w:val="1FF266BE"/>
    <w:rsid w:val="20F8053A"/>
    <w:rsid w:val="21CB6507"/>
    <w:rsid w:val="22916662"/>
    <w:rsid w:val="254D2D75"/>
    <w:rsid w:val="25D012EC"/>
    <w:rsid w:val="27361586"/>
    <w:rsid w:val="296D5C9B"/>
    <w:rsid w:val="29A60531"/>
    <w:rsid w:val="2AAC2F06"/>
    <w:rsid w:val="2D6645A5"/>
    <w:rsid w:val="313B098F"/>
    <w:rsid w:val="33623814"/>
    <w:rsid w:val="38740160"/>
    <w:rsid w:val="39BF3306"/>
    <w:rsid w:val="3D2715FB"/>
    <w:rsid w:val="3F3B38AC"/>
    <w:rsid w:val="3F634A8A"/>
    <w:rsid w:val="402D3EAF"/>
    <w:rsid w:val="458A4B1F"/>
    <w:rsid w:val="46D109EC"/>
    <w:rsid w:val="48E4176B"/>
    <w:rsid w:val="4FBB353A"/>
    <w:rsid w:val="57804655"/>
    <w:rsid w:val="57FECFD2"/>
    <w:rsid w:val="5BF705DC"/>
    <w:rsid w:val="5C1FFA64"/>
    <w:rsid w:val="5FBF9196"/>
    <w:rsid w:val="5FEE70C4"/>
    <w:rsid w:val="6446015D"/>
    <w:rsid w:val="68475681"/>
    <w:rsid w:val="695D304F"/>
    <w:rsid w:val="6A596CDA"/>
    <w:rsid w:val="6B0D3978"/>
    <w:rsid w:val="6CB06F91"/>
    <w:rsid w:val="6D9856B7"/>
    <w:rsid w:val="6F125A01"/>
    <w:rsid w:val="7197250B"/>
    <w:rsid w:val="72AB324F"/>
    <w:rsid w:val="73631DE1"/>
    <w:rsid w:val="75C1F7FA"/>
    <w:rsid w:val="7AFE4AD8"/>
    <w:rsid w:val="7B2814A3"/>
    <w:rsid w:val="7BFFE113"/>
    <w:rsid w:val="7C530EBB"/>
    <w:rsid w:val="7EF33AA4"/>
    <w:rsid w:val="7F3F7D60"/>
    <w:rsid w:val="7FEF8758"/>
    <w:rsid w:val="9F3F0A7D"/>
    <w:rsid w:val="9FEFE449"/>
    <w:rsid w:val="B75FF747"/>
    <w:rsid w:val="EFFEF4E2"/>
    <w:rsid w:val="FDDD3B22"/>
    <w:rsid w:val="FF778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2963</Words>
  <Characters>3150</Characters>
  <Lines>0</Lines>
  <Paragraphs>0</Paragraphs>
  <TotalTime>0</TotalTime>
  <ScaleCrop>false</ScaleCrop>
  <LinksUpToDate>false</LinksUpToDate>
  <CharactersWithSpaces>3153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2022-10-15T06:54:00Z</dcterms:created>
  <dc:creator>井的男朋友</dc:creator>
  <cp:lastModifiedBy>Jocelyn</cp:lastModifiedBy>
  <dcterms:modified xsi:type="dcterms:W3CDTF">2025-10-27T06:31:53Z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8DAC5AE29E064E20984B5ACAD7049A5D</vt:lpwstr>
  </property>
  <property fmtid="{D5CDD505-2E9C-101B-9397-08002B2CF9AE}" pid="4" name="KSOTemplateDocerSaveRecord">
    <vt:lpwstr>eyJoZGlkIjoiZjhkMmNiN2E2NTY1N2ZmNTYzMTQyNTAwOTM3N2JhNDEiLCJ1c2VySWQiOiI0MjYxMjYxNjMifQ==</vt:lpwstr>
  </property>
</Properties>
</file>